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C19C8" w14:textId="77777777" w:rsidR="00516F39" w:rsidRPr="00516F39" w:rsidRDefault="00516F39" w:rsidP="00516F39">
      <w:pPr>
        <w:spacing w:before="120"/>
        <w:ind w:left="720"/>
        <w:contextualSpacing/>
        <w:jc w:val="right"/>
        <w:rPr>
          <w:rFonts w:eastAsiaTheme="majorEastAsia"/>
          <w:b/>
          <w:spacing w:val="-10"/>
          <w:kern w:val="28"/>
          <w:lang w:eastAsia="pl-PL"/>
        </w:rPr>
      </w:pPr>
    </w:p>
    <w:p w14:paraId="37B8A3A5" w14:textId="77777777" w:rsidR="00516F39" w:rsidRPr="00516F39" w:rsidRDefault="00516F39" w:rsidP="00516F39">
      <w:pPr>
        <w:spacing w:before="120"/>
        <w:ind w:left="720"/>
        <w:contextualSpacing/>
        <w:jc w:val="right"/>
        <w:rPr>
          <w:rFonts w:eastAsiaTheme="majorEastAsia"/>
          <w:b/>
          <w:spacing w:val="-10"/>
          <w:kern w:val="28"/>
          <w:lang w:eastAsia="pl-PL"/>
        </w:rPr>
      </w:pPr>
    </w:p>
    <w:p w14:paraId="71E07565" w14:textId="5621CAE2" w:rsidR="00C77BE0" w:rsidRPr="00674C7C" w:rsidRDefault="00C77BE0" w:rsidP="00C77BE0">
      <w:pPr>
        <w:tabs>
          <w:tab w:val="right" w:pos="9356"/>
        </w:tabs>
        <w:spacing w:line="360" w:lineRule="auto"/>
        <w:ind w:firstLine="181"/>
        <w:jc w:val="both"/>
        <w:rPr>
          <w:color w:val="000000"/>
        </w:rPr>
      </w:pPr>
      <w:r w:rsidRPr="00674C7C">
        <w:t>SKMMU.0</w:t>
      </w:r>
      <w:r w:rsidRPr="00674C7C">
        <w:rPr>
          <w:color w:val="000000"/>
        </w:rPr>
        <w:t>86.</w:t>
      </w:r>
      <w:r>
        <w:rPr>
          <w:color w:val="000000"/>
        </w:rPr>
        <w:t>25</w:t>
      </w:r>
      <w:r w:rsidRPr="00674C7C">
        <w:rPr>
          <w:color w:val="000000"/>
        </w:rPr>
        <w:t>.2</w:t>
      </w:r>
      <w:r>
        <w:rPr>
          <w:color w:val="000000"/>
        </w:rPr>
        <w:t>1</w:t>
      </w:r>
      <w:r w:rsidRPr="00674C7C">
        <w:tab/>
      </w:r>
      <w:r w:rsidRPr="00674C7C">
        <w:rPr>
          <w:color w:val="000000"/>
        </w:rPr>
        <w:t>Gdynia, 202</w:t>
      </w:r>
      <w:r>
        <w:rPr>
          <w:color w:val="000000"/>
        </w:rPr>
        <w:t>1</w:t>
      </w:r>
      <w:r w:rsidRPr="00674C7C">
        <w:rPr>
          <w:color w:val="000000"/>
        </w:rPr>
        <w:t>-0</w:t>
      </w:r>
      <w:r>
        <w:rPr>
          <w:color w:val="000000"/>
        </w:rPr>
        <w:t>6</w:t>
      </w:r>
      <w:r w:rsidRPr="00674C7C">
        <w:rPr>
          <w:color w:val="000000"/>
        </w:rPr>
        <w:t>-</w:t>
      </w:r>
      <w:r w:rsidR="001B7DC7">
        <w:rPr>
          <w:color w:val="000000"/>
        </w:rPr>
        <w:t>2</w:t>
      </w:r>
      <w:r w:rsidR="009179E7">
        <w:rPr>
          <w:color w:val="000000"/>
        </w:rPr>
        <w:t>8</w:t>
      </w:r>
    </w:p>
    <w:p w14:paraId="4B04A8B0" w14:textId="77777777" w:rsidR="00C77BE0" w:rsidRPr="00674C7C" w:rsidRDefault="00C77BE0" w:rsidP="00C77BE0">
      <w:pPr>
        <w:spacing w:line="360" w:lineRule="auto"/>
        <w:jc w:val="both"/>
        <w:rPr>
          <w:b/>
        </w:rPr>
      </w:pPr>
      <w:r w:rsidRPr="00674C7C">
        <w:rPr>
          <w:b/>
        </w:rPr>
        <w:t xml:space="preserve">                                                                                </w:t>
      </w:r>
    </w:p>
    <w:p w14:paraId="0CC851AA" w14:textId="77777777" w:rsidR="00C77BE0" w:rsidRPr="00674C7C" w:rsidRDefault="00C77BE0" w:rsidP="00C77BE0">
      <w:pPr>
        <w:autoSpaceDE w:val="0"/>
        <w:autoSpaceDN w:val="0"/>
        <w:adjustRightInd w:val="0"/>
        <w:spacing w:line="360" w:lineRule="auto"/>
        <w:jc w:val="both"/>
      </w:pPr>
    </w:p>
    <w:p w14:paraId="7BF1A58B" w14:textId="77777777" w:rsidR="00C77BE0" w:rsidRPr="00674C7C" w:rsidRDefault="00C77BE0" w:rsidP="00C77BE0">
      <w:pPr>
        <w:pStyle w:val="Trescpola"/>
        <w:spacing w:line="360" w:lineRule="auto"/>
        <w:jc w:val="both"/>
        <w:rPr>
          <w:b w:val="0"/>
        </w:rPr>
      </w:pPr>
    </w:p>
    <w:p w14:paraId="4F1C679D" w14:textId="77777777" w:rsidR="00C77BE0" w:rsidRPr="00486A17" w:rsidRDefault="00C77BE0" w:rsidP="00C77BE0">
      <w:pPr>
        <w:pStyle w:val="Style6"/>
        <w:widowControl/>
        <w:spacing w:line="276" w:lineRule="auto"/>
        <w:jc w:val="both"/>
        <w:rPr>
          <w:b/>
        </w:rPr>
      </w:pPr>
      <w:r w:rsidRPr="00674C7C">
        <w:rPr>
          <w:b/>
        </w:rPr>
        <w:t xml:space="preserve">Dotyczy: przetargu nieograniczonego pt. </w:t>
      </w:r>
      <w:r w:rsidRPr="00486A17">
        <w:rPr>
          <w:b/>
        </w:rPr>
        <w:t xml:space="preserve">dostawa jednego fabrycznie nowego elektrycznego zespołu trakcyjnego z opcją dostawy dodatkowych maksymalnie dziewięciu </w:t>
      </w:r>
      <w:bookmarkStart w:id="0" w:name="_Hlk65765985"/>
      <w:r w:rsidRPr="00486A17">
        <w:rPr>
          <w:b/>
        </w:rPr>
        <w:t xml:space="preserve">fabrycznie nowych elektrycznych zespołów trakcyjnych wraz z dostawą sprzętu przeznaczonego do unowocześnienia zaplecza utrzymania taboru </w:t>
      </w:r>
    </w:p>
    <w:bookmarkEnd w:id="0"/>
    <w:p w14:paraId="0068CDF2" w14:textId="0FBFD060" w:rsidR="00C77BE0" w:rsidRPr="00674C7C" w:rsidRDefault="00C77BE0" w:rsidP="00C77BE0">
      <w:pPr>
        <w:autoSpaceDE w:val="0"/>
        <w:autoSpaceDN w:val="0"/>
        <w:adjustRightInd w:val="0"/>
        <w:spacing w:line="360" w:lineRule="auto"/>
        <w:ind w:left="-142"/>
        <w:jc w:val="both"/>
        <w:rPr>
          <w:b/>
          <w:lang w:eastAsia="pl-PL"/>
        </w:rPr>
      </w:pPr>
    </w:p>
    <w:p w14:paraId="4FB1678C" w14:textId="77777777" w:rsidR="00C77BE0" w:rsidRPr="00674C7C" w:rsidRDefault="00C77BE0" w:rsidP="00C77BE0">
      <w:pPr>
        <w:pStyle w:val="Trescpola"/>
        <w:spacing w:line="360" w:lineRule="auto"/>
        <w:jc w:val="both"/>
        <w:rPr>
          <w:b w:val="0"/>
        </w:rPr>
      </w:pPr>
    </w:p>
    <w:p w14:paraId="58CF2F58" w14:textId="16B81B10" w:rsidR="00FB419B" w:rsidRPr="00FB419B" w:rsidRDefault="00FB419B" w:rsidP="00FB419B">
      <w:pPr>
        <w:pStyle w:val="Trescpola"/>
        <w:numPr>
          <w:ilvl w:val="0"/>
          <w:numId w:val="2"/>
        </w:numPr>
        <w:spacing w:line="360" w:lineRule="auto"/>
        <w:jc w:val="both"/>
        <w:rPr>
          <w:b w:val="0"/>
        </w:rPr>
      </w:pPr>
      <w:bookmarkStart w:id="1" w:name="_Hlk75773761"/>
      <w:r w:rsidRPr="00674C7C">
        <w:rPr>
          <w:b w:val="0"/>
        </w:rPr>
        <w:t>Zamawiający przedstawia w załączeniu odpowied</w:t>
      </w:r>
      <w:r>
        <w:rPr>
          <w:b w:val="0"/>
        </w:rPr>
        <w:t>zi</w:t>
      </w:r>
      <w:r w:rsidRPr="00674C7C">
        <w:rPr>
          <w:b w:val="0"/>
        </w:rPr>
        <w:t xml:space="preserve"> na </w:t>
      </w:r>
      <w:r>
        <w:rPr>
          <w:b w:val="0"/>
        </w:rPr>
        <w:t xml:space="preserve">kolejne </w:t>
      </w:r>
      <w:r w:rsidRPr="00674C7C">
        <w:rPr>
          <w:b w:val="0"/>
        </w:rPr>
        <w:t>pytani</w:t>
      </w:r>
      <w:r>
        <w:rPr>
          <w:b w:val="0"/>
        </w:rPr>
        <w:t>a</w:t>
      </w:r>
      <w:r w:rsidRPr="00674C7C">
        <w:rPr>
          <w:b w:val="0"/>
        </w:rPr>
        <w:t xml:space="preserve"> zadane w toku przedmiotowego postępowania</w:t>
      </w:r>
      <w:r>
        <w:rPr>
          <w:b w:val="0"/>
        </w:rPr>
        <w:t>.</w:t>
      </w:r>
    </w:p>
    <w:p w14:paraId="50F6A381" w14:textId="63052E54" w:rsidR="00A9115C" w:rsidRDefault="00A9115C" w:rsidP="00D239E2">
      <w:pPr>
        <w:pStyle w:val="Akapitzlist"/>
        <w:numPr>
          <w:ilvl w:val="0"/>
          <w:numId w:val="2"/>
        </w:numPr>
        <w:spacing w:before="100" w:beforeAutospacing="1" w:after="100" w:afterAutospacing="1"/>
        <w:jc w:val="both"/>
        <w:rPr>
          <w:bCs/>
          <w:lang w:eastAsia="pl-PL"/>
        </w:rPr>
      </w:pPr>
      <w:r>
        <w:rPr>
          <w:bCs/>
          <w:lang w:eastAsia="pl-PL"/>
        </w:rPr>
        <w:t xml:space="preserve">Zamawiający zmienia termin ustalenia Harmonogramu z 45 na 75 dni od dnia zawarcia Umowy wskutek czego ostatnie zdanie par. 1 ust. 2 otrzymuje treść następującą: </w:t>
      </w:r>
    </w:p>
    <w:bookmarkEnd w:id="1"/>
    <w:p w14:paraId="43F41155" w14:textId="0DF616B2" w:rsidR="00A9115C" w:rsidRPr="00A740EC" w:rsidRDefault="00A9115C" w:rsidP="00A9115C">
      <w:pPr>
        <w:widowControl w:val="0"/>
        <w:ind w:left="360"/>
        <w:contextualSpacing/>
        <w:jc w:val="both"/>
        <w:rPr>
          <w:bCs/>
        </w:rPr>
      </w:pPr>
      <w:r>
        <w:rPr>
          <w:bCs/>
        </w:rPr>
        <w:t>„</w:t>
      </w:r>
      <w:r w:rsidRPr="00A740EC">
        <w:rPr>
          <w:bCs/>
        </w:rPr>
        <w:t xml:space="preserve">Szczegółowy harmonogram dostawy poszczególnych EZT oraz partii Sprzętu, Zamawiający i Wykonawca ustalą w terminie do </w:t>
      </w:r>
      <w:r w:rsidRPr="00E70B31">
        <w:rPr>
          <w:bCs/>
          <w:strike/>
          <w:color w:val="FF0000"/>
        </w:rPr>
        <w:t>45 </w:t>
      </w:r>
      <w:r>
        <w:rPr>
          <w:bCs/>
        </w:rPr>
        <w:t xml:space="preserve"> </w:t>
      </w:r>
      <w:r w:rsidRPr="00E70B31">
        <w:rPr>
          <w:bCs/>
          <w:color w:val="FF0000"/>
        </w:rPr>
        <w:t>75</w:t>
      </w:r>
      <w:r>
        <w:rPr>
          <w:bCs/>
        </w:rPr>
        <w:t xml:space="preserve"> </w:t>
      </w:r>
      <w:r w:rsidRPr="00A740EC">
        <w:rPr>
          <w:bCs/>
        </w:rPr>
        <w:t>dni po zawarciu Umowy, w formie pisemnego uzgodnienia – Harmonogram realizacji przedmiotu Umowy stanowiącego Załącznik nr 2 do niniejszej umowy.</w:t>
      </w:r>
      <w:r>
        <w:rPr>
          <w:bCs/>
        </w:rPr>
        <w:t>”</w:t>
      </w:r>
    </w:p>
    <w:p w14:paraId="572DD2E8" w14:textId="56FAA9A5" w:rsidR="00A9115C" w:rsidRPr="00286F36" w:rsidRDefault="00A9115C" w:rsidP="00286F36">
      <w:pPr>
        <w:pStyle w:val="Akapitzlist"/>
        <w:numPr>
          <w:ilvl w:val="0"/>
          <w:numId w:val="2"/>
        </w:numPr>
        <w:spacing w:before="100" w:beforeAutospacing="1" w:after="100" w:afterAutospacing="1"/>
        <w:jc w:val="both"/>
        <w:rPr>
          <w:bCs/>
          <w:lang w:eastAsia="pl-PL"/>
        </w:rPr>
      </w:pPr>
      <w:r w:rsidRPr="00286F36">
        <w:rPr>
          <w:bCs/>
          <w:lang w:eastAsia="pl-PL"/>
        </w:rPr>
        <w:t xml:space="preserve">Zamawiający zmienia termin skorzystania z Opcji z 30 na 60 dni od dnia zawarcia Umowy wskutek czego </w:t>
      </w:r>
      <w:r w:rsidR="00286F36" w:rsidRPr="00286F36">
        <w:rPr>
          <w:bCs/>
          <w:lang w:eastAsia="pl-PL"/>
        </w:rPr>
        <w:t xml:space="preserve">pierwsze </w:t>
      </w:r>
      <w:r w:rsidRPr="00286F36">
        <w:rPr>
          <w:bCs/>
          <w:lang w:eastAsia="pl-PL"/>
        </w:rPr>
        <w:t xml:space="preserve">zdanie par. 1 ust. </w:t>
      </w:r>
      <w:r w:rsidR="00286F36" w:rsidRPr="00286F36">
        <w:rPr>
          <w:bCs/>
          <w:lang w:eastAsia="pl-PL"/>
        </w:rPr>
        <w:t>10</w:t>
      </w:r>
      <w:r w:rsidRPr="00286F36">
        <w:rPr>
          <w:bCs/>
          <w:lang w:eastAsia="pl-PL"/>
        </w:rPr>
        <w:t xml:space="preserve"> otrzymuje treść następującą: </w:t>
      </w:r>
    </w:p>
    <w:p w14:paraId="152599E5" w14:textId="35C2EF80" w:rsidR="00A9115C" w:rsidRDefault="00286F36" w:rsidP="00286F36">
      <w:pPr>
        <w:pStyle w:val="Akapitzlist"/>
        <w:spacing w:before="100" w:beforeAutospacing="1" w:after="100" w:afterAutospacing="1"/>
        <w:ind w:left="360"/>
        <w:jc w:val="both"/>
        <w:rPr>
          <w:bCs/>
        </w:rPr>
      </w:pPr>
      <w:r>
        <w:rPr>
          <w:bCs/>
        </w:rPr>
        <w:t>„</w:t>
      </w:r>
      <w:r w:rsidRPr="00A740EC">
        <w:rPr>
          <w:bCs/>
        </w:rPr>
        <w:t xml:space="preserve">Zamawiający będzie mógł skorzystać z prawa opcji w terminie do </w:t>
      </w:r>
      <w:r w:rsidRPr="00E70B31">
        <w:rPr>
          <w:bCs/>
          <w:strike/>
          <w:color w:val="FF0000"/>
        </w:rPr>
        <w:t>30</w:t>
      </w:r>
      <w:r w:rsidRPr="00A740EC">
        <w:rPr>
          <w:bCs/>
        </w:rPr>
        <w:t xml:space="preserve"> </w:t>
      </w:r>
      <w:r w:rsidRPr="00E70B31">
        <w:rPr>
          <w:bCs/>
          <w:color w:val="FF0000"/>
        </w:rPr>
        <w:t>60</w:t>
      </w:r>
      <w:r>
        <w:rPr>
          <w:bCs/>
        </w:rPr>
        <w:t xml:space="preserve"> </w:t>
      </w:r>
      <w:r w:rsidRPr="00A740EC">
        <w:rPr>
          <w:bCs/>
        </w:rPr>
        <w:t>dni od dnia zawarcia Umowy poprzez złożenie Wykonawcy oświadczenia o skorzystaniu z prawa opcji w formie pisemnej lub elektronicznej, w razie zaistnienia okoliczności opisanych w ust. 11 niniejszego paragrafu.</w:t>
      </w:r>
      <w:r>
        <w:rPr>
          <w:bCs/>
        </w:rPr>
        <w:t>”</w:t>
      </w:r>
    </w:p>
    <w:p w14:paraId="126AE143" w14:textId="77777777" w:rsidR="00286F36" w:rsidRDefault="00286F36" w:rsidP="00286F36">
      <w:pPr>
        <w:pStyle w:val="Akapitzlist"/>
        <w:spacing w:before="100" w:beforeAutospacing="1" w:after="100" w:afterAutospacing="1"/>
        <w:ind w:left="360"/>
        <w:jc w:val="both"/>
        <w:rPr>
          <w:bCs/>
          <w:lang w:eastAsia="pl-PL"/>
        </w:rPr>
      </w:pPr>
    </w:p>
    <w:p w14:paraId="045E6DF5" w14:textId="71D3D7E0" w:rsidR="00A9115C" w:rsidRDefault="00D239E2" w:rsidP="00D239E2">
      <w:pPr>
        <w:pStyle w:val="Akapitzlist"/>
        <w:numPr>
          <w:ilvl w:val="0"/>
          <w:numId w:val="2"/>
        </w:numPr>
        <w:spacing w:before="100" w:beforeAutospacing="1" w:after="100" w:afterAutospacing="1"/>
        <w:jc w:val="both"/>
        <w:rPr>
          <w:bCs/>
          <w:lang w:eastAsia="pl-PL"/>
        </w:rPr>
      </w:pPr>
      <w:r w:rsidRPr="00D239E2">
        <w:rPr>
          <w:bCs/>
          <w:lang w:eastAsia="pl-PL"/>
        </w:rPr>
        <w:t xml:space="preserve">Zamawiający </w:t>
      </w:r>
      <w:r w:rsidR="00A9115C">
        <w:rPr>
          <w:bCs/>
          <w:lang w:eastAsia="pl-PL"/>
        </w:rPr>
        <w:t>wprowadza poprawk</w:t>
      </w:r>
      <w:r w:rsidR="00286F36">
        <w:rPr>
          <w:bCs/>
          <w:lang w:eastAsia="pl-PL"/>
        </w:rPr>
        <w:t>i</w:t>
      </w:r>
      <w:r w:rsidR="00A9115C">
        <w:rPr>
          <w:bCs/>
          <w:lang w:eastAsia="pl-PL"/>
        </w:rPr>
        <w:t xml:space="preserve"> w </w:t>
      </w:r>
      <w:bookmarkStart w:id="2" w:name="_Hlk75773265"/>
      <w:r w:rsidR="00A9115C" w:rsidRPr="00D239E2">
        <w:rPr>
          <w:bCs/>
          <w:lang w:eastAsia="pl-PL"/>
        </w:rPr>
        <w:t>§</w:t>
      </w:r>
      <w:r w:rsidR="00A9115C">
        <w:rPr>
          <w:bCs/>
          <w:lang w:eastAsia="pl-PL"/>
        </w:rPr>
        <w:t xml:space="preserve"> 2 pkt 11 projektu Umowy </w:t>
      </w:r>
      <w:bookmarkEnd w:id="2"/>
      <w:r w:rsidR="00A9115C">
        <w:rPr>
          <w:bCs/>
          <w:lang w:eastAsia="pl-PL"/>
        </w:rPr>
        <w:t>oraz w pkt 1.13 OPZ.</w:t>
      </w:r>
    </w:p>
    <w:p w14:paraId="104DAC8C" w14:textId="77777777" w:rsidR="00286F36" w:rsidRDefault="00286F36" w:rsidP="00A9115C">
      <w:pPr>
        <w:pStyle w:val="Akapitzlist"/>
        <w:spacing w:before="100" w:beforeAutospacing="1" w:after="100" w:afterAutospacing="1"/>
        <w:ind w:left="360"/>
        <w:jc w:val="both"/>
        <w:rPr>
          <w:bCs/>
          <w:lang w:eastAsia="pl-PL"/>
        </w:rPr>
      </w:pPr>
    </w:p>
    <w:p w14:paraId="502C0029" w14:textId="29508010" w:rsidR="00A9115C" w:rsidRDefault="00A9115C" w:rsidP="00A9115C">
      <w:pPr>
        <w:pStyle w:val="Akapitzlist"/>
        <w:spacing w:before="100" w:beforeAutospacing="1" w:after="100" w:afterAutospacing="1"/>
        <w:ind w:left="360"/>
        <w:jc w:val="both"/>
        <w:rPr>
          <w:bCs/>
          <w:lang w:eastAsia="pl-PL"/>
        </w:rPr>
      </w:pPr>
      <w:r w:rsidRPr="00D239E2">
        <w:rPr>
          <w:bCs/>
          <w:lang w:eastAsia="pl-PL"/>
        </w:rPr>
        <w:t>§</w:t>
      </w:r>
      <w:r>
        <w:rPr>
          <w:bCs/>
          <w:lang w:eastAsia="pl-PL"/>
        </w:rPr>
        <w:t xml:space="preserve"> 2 pkt 11 projektu Umowy</w:t>
      </w:r>
      <w:r w:rsidRPr="00A9115C">
        <w:rPr>
          <w:bCs/>
          <w:lang w:eastAsia="pl-PL"/>
        </w:rPr>
        <w:t xml:space="preserve"> </w:t>
      </w:r>
      <w:r>
        <w:rPr>
          <w:bCs/>
          <w:lang w:eastAsia="pl-PL"/>
        </w:rPr>
        <w:t xml:space="preserve">otrzymuje teść następującą: </w:t>
      </w:r>
    </w:p>
    <w:p w14:paraId="18177E92" w14:textId="79BFD203" w:rsidR="00A9115C" w:rsidRDefault="00A9115C" w:rsidP="00A9115C">
      <w:pPr>
        <w:pStyle w:val="Akapitzlist"/>
        <w:spacing w:before="100" w:beforeAutospacing="1" w:after="100" w:afterAutospacing="1"/>
        <w:ind w:left="360"/>
        <w:jc w:val="both"/>
      </w:pPr>
      <w:r>
        <w:rPr>
          <w:bCs/>
          <w:lang w:eastAsia="pl-PL"/>
        </w:rPr>
        <w:t>„</w:t>
      </w:r>
      <w:r w:rsidRPr="00136594">
        <w:t>Oprogramowanie – programy komputerowe (software) oraz programy komputerowe wbudowane (</w:t>
      </w:r>
      <w:proofErr w:type="spellStart"/>
      <w:r w:rsidRPr="00136594">
        <w:t>firmware</w:t>
      </w:r>
      <w:proofErr w:type="spellEnd"/>
      <w:r w:rsidRPr="00136594">
        <w:t xml:space="preserve">, oprogramowanie sprzętowe), w tym pliki niezbędne do </w:t>
      </w:r>
      <w:r w:rsidRPr="002C76AB">
        <w:rPr>
          <w:color w:val="FF0000"/>
        </w:rPr>
        <w:t xml:space="preserve">ich </w:t>
      </w:r>
      <w:r w:rsidRPr="00136594">
        <w:t xml:space="preserve">prawidłowej instalacji i działania </w:t>
      </w:r>
      <w:r w:rsidRPr="002C76AB">
        <w:rPr>
          <w:strike/>
          <w:color w:val="FF0000"/>
        </w:rPr>
        <w:t>specjalistycznego oprogramowania diagnostycznego</w:t>
      </w:r>
      <w:r w:rsidRPr="00136594">
        <w:rPr>
          <w:i/>
          <w:iCs/>
          <w:color w:val="FF0000"/>
        </w:rPr>
        <w:t xml:space="preserve"> </w:t>
      </w:r>
      <w:r w:rsidRPr="00136594">
        <w:rPr>
          <w:strike/>
          <w:color w:val="FF0000"/>
        </w:rPr>
        <w:t>tychże programów i aplikacji</w:t>
      </w:r>
      <w:r w:rsidRPr="00136594">
        <w:rPr>
          <w:color w:val="FF0000"/>
        </w:rPr>
        <w:t xml:space="preserve"> </w:t>
      </w:r>
      <w:r w:rsidRPr="00136594">
        <w:t xml:space="preserve">(m.in. pliki konfiguracyjne, </w:t>
      </w:r>
      <w:r w:rsidRPr="002C76AB">
        <w:rPr>
          <w:strike/>
          <w:color w:val="FF0000"/>
        </w:rPr>
        <w:t>pliki projektu,</w:t>
      </w:r>
      <w:r w:rsidRPr="002C76AB">
        <w:rPr>
          <w:color w:val="FF0000"/>
        </w:rPr>
        <w:t xml:space="preserve"> </w:t>
      </w:r>
      <w:r w:rsidRPr="002C76AB">
        <w:rPr>
          <w:strike/>
          <w:color w:val="FF0000"/>
        </w:rPr>
        <w:t>itp.</w:t>
      </w:r>
      <w:r w:rsidRPr="00136594">
        <w:t>) służące do eksploatacji, obsługi, utrzymania i diagnostyki EZT oraz sprzętu;</w:t>
      </w:r>
      <w:r>
        <w:t xml:space="preserve">” </w:t>
      </w:r>
    </w:p>
    <w:p w14:paraId="50778443" w14:textId="77777777" w:rsidR="00A9115C" w:rsidRDefault="00A9115C" w:rsidP="00A9115C">
      <w:pPr>
        <w:pStyle w:val="Akapitzlist"/>
        <w:spacing w:before="100" w:beforeAutospacing="1" w:after="100" w:afterAutospacing="1"/>
        <w:ind w:left="360"/>
        <w:jc w:val="both"/>
      </w:pPr>
    </w:p>
    <w:p w14:paraId="57448F49" w14:textId="77777777" w:rsidR="00A9115C" w:rsidRDefault="00A9115C" w:rsidP="00A9115C">
      <w:pPr>
        <w:pStyle w:val="Akapitzlist"/>
        <w:spacing w:before="100" w:beforeAutospacing="1" w:after="100" w:afterAutospacing="1"/>
        <w:ind w:left="360"/>
        <w:jc w:val="both"/>
      </w:pPr>
      <w:r>
        <w:t xml:space="preserve">Pkt 1.13 OPZ otrzymuje treść następującą: </w:t>
      </w:r>
    </w:p>
    <w:p w14:paraId="0C403DAF" w14:textId="1ABD4157" w:rsidR="00A9115C" w:rsidRDefault="00A9115C" w:rsidP="00A9115C">
      <w:pPr>
        <w:pStyle w:val="Akapitzlist"/>
        <w:spacing w:before="100" w:beforeAutospacing="1" w:after="100" w:afterAutospacing="1"/>
        <w:ind w:left="360"/>
        <w:jc w:val="both"/>
      </w:pPr>
      <w:r w:rsidRPr="007C6499">
        <w:t>Wraz z każdym EZT Wykonawca dostarczy Zamawiającemu wszystkie programy komputerowe (software)</w:t>
      </w:r>
      <w:r>
        <w:rPr>
          <w:color w:val="FF0000"/>
        </w:rPr>
        <w:t xml:space="preserve">, </w:t>
      </w:r>
      <w:r w:rsidRPr="00033369">
        <w:rPr>
          <w:color w:val="FF0000"/>
        </w:rPr>
        <w:t xml:space="preserve">w tym pliki niezbędne </w:t>
      </w:r>
      <w:r>
        <w:rPr>
          <w:color w:val="FF0000"/>
        </w:rPr>
        <w:t xml:space="preserve">do prawidłowej instalacji i działania, w szczególności do specjalistycznego oprogramowania diagnostycznego (m.in. pliki </w:t>
      </w:r>
      <w:r w:rsidRPr="00033369">
        <w:rPr>
          <w:color w:val="FF0000"/>
        </w:rPr>
        <w:t>konfiguracyjne i pliki projektu</w:t>
      </w:r>
      <w:r w:rsidRPr="00DC2CA8">
        <w:rPr>
          <w:color w:val="FF0000"/>
        </w:rPr>
        <w:t>)</w:t>
      </w:r>
      <w:r w:rsidRPr="007C6499">
        <w:t xml:space="preserve"> oraz programy wbudowane (</w:t>
      </w:r>
      <w:proofErr w:type="spellStart"/>
      <w:r w:rsidRPr="007C6499">
        <w:t>firmware</w:t>
      </w:r>
      <w:proofErr w:type="spellEnd"/>
      <w:r w:rsidRPr="007C6499">
        <w:t>)</w:t>
      </w:r>
      <w:r w:rsidRPr="00033369">
        <w:rPr>
          <w:strike/>
          <w:color w:val="FF0000"/>
        </w:rPr>
        <w:t xml:space="preserve">, w tym pliki niezbędne do prawidłowej instalacji i działania specjalistycznego oprogramowania </w:t>
      </w:r>
      <w:r w:rsidRPr="00033369">
        <w:rPr>
          <w:strike/>
          <w:color w:val="FF0000"/>
        </w:rPr>
        <w:lastRenderedPageBreak/>
        <w:t>diagnostycznego (m.in. pliki konfiguracyjne i pliki projektu)</w:t>
      </w:r>
      <w:r w:rsidRPr="007C6499">
        <w:t xml:space="preserve"> („Oprogramowanie”) wraz z</w:t>
      </w:r>
      <w:r>
        <w:t> </w:t>
      </w:r>
      <w:r w:rsidRPr="007C6499">
        <w:t>bezterminowym prawem do korzystania z nich zgodnie z postanowieniami Umowy, niezbędne w procesie obsługi, utrzymania i diagnostyki EZT. Wszystkie programy komputerowe (software) oraz programy wbudowane (</w:t>
      </w:r>
      <w:proofErr w:type="spellStart"/>
      <w:r w:rsidRPr="007C6499">
        <w:t>firmware</w:t>
      </w:r>
      <w:proofErr w:type="spellEnd"/>
      <w:r w:rsidRPr="007C6499">
        <w:t>)</w:t>
      </w:r>
      <w:r w:rsidRPr="00033369">
        <w:rPr>
          <w:strike/>
          <w:color w:val="FF0000"/>
        </w:rPr>
        <w:t>, w tym pliki niezbędne do prawidłowej instalacji i działania specjalistycznego oprogramowania diagnostycznego (m.in. pliki konfiguracyjne i pliki projektu)</w:t>
      </w:r>
      <w:r w:rsidRPr="007C6499">
        <w:t xml:space="preserve"> muszą umożliwiać Zamawiającemu samodzielną lub poprzez usługodawców obsługę, utrzymanie i diagnostykę bez ograniczeń w zakresie wszystkich prac do poziomu obsługi P4 włącznie (nie dopuszcza się przekazania Oprogramowania o ograniczonych uprawnianiach i funkcjonalnościach). Oprogramowanie powinno umożliwiać obsługę w</w:t>
      </w:r>
      <w:r>
        <w:t> </w:t>
      </w:r>
      <w:r w:rsidRPr="007C6499">
        <w:t>języku polskim (dotyczy m.in. interfejsu, parametrów oraz list błędów). Do przekazanego oprogramowania należy załączyć kompletne instrukcje obsługi w języku polskim, a</w:t>
      </w:r>
      <w:r>
        <w:t> </w:t>
      </w:r>
      <w:r w:rsidRPr="007C6499">
        <w:t>w</w:t>
      </w:r>
      <w:r>
        <w:t> </w:t>
      </w:r>
      <w:r w:rsidRPr="007C6499">
        <w:t>przypadku instrukcji obsługi sporządzonych w innym języku dodatkowo ich tłumaczenie na język polski.</w:t>
      </w:r>
      <w:r>
        <w:t xml:space="preserve"> </w:t>
      </w:r>
      <w:r>
        <w:rPr>
          <w:color w:val="FF0000"/>
        </w:rPr>
        <w:t>Programy wbudowane (</w:t>
      </w:r>
      <w:proofErr w:type="spellStart"/>
      <w:r>
        <w:rPr>
          <w:color w:val="FF0000"/>
        </w:rPr>
        <w:t>firmware</w:t>
      </w:r>
      <w:proofErr w:type="spellEnd"/>
      <w:r>
        <w:rPr>
          <w:color w:val="FF0000"/>
        </w:rPr>
        <w:t>, oprogramowanie sprzętowe) dostarczone zostaną zainstalowane i gotowe do użytku na pojazdach i urządzeniach, dla których są przeznaczone.</w:t>
      </w:r>
      <w:r w:rsidRPr="008C4DE7">
        <w:t>”</w:t>
      </w:r>
    </w:p>
    <w:p w14:paraId="6980720E" w14:textId="77777777" w:rsidR="00286F36" w:rsidRPr="007C6499" w:rsidRDefault="00286F36" w:rsidP="00A9115C">
      <w:pPr>
        <w:pStyle w:val="Akapitzlist"/>
        <w:spacing w:before="100" w:beforeAutospacing="1" w:after="100" w:afterAutospacing="1"/>
        <w:ind w:left="360"/>
        <w:jc w:val="both"/>
      </w:pPr>
    </w:p>
    <w:p w14:paraId="5E402E2C" w14:textId="19788A7D" w:rsidR="00D239E2" w:rsidRPr="000535D6" w:rsidRDefault="00D239E2" w:rsidP="000535D6">
      <w:pPr>
        <w:pStyle w:val="Akapitzlist"/>
        <w:numPr>
          <w:ilvl w:val="0"/>
          <w:numId w:val="2"/>
        </w:numPr>
        <w:spacing w:before="100" w:beforeAutospacing="1" w:after="100" w:afterAutospacing="1"/>
        <w:jc w:val="both"/>
        <w:rPr>
          <w:bCs/>
          <w:lang w:eastAsia="pl-PL"/>
        </w:rPr>
      </w:pPr>
      <w:r w:rsidRPr="000535D6">
        <w:rPr>
          <w:bCs/>
          <w:lang w:eastAsia="pl-PL"/>
        </w:rPr>
        <w:t xml:space="preserve">Zamawiający koryguje omyłkę w zdaniu trzecim ust. 33 par. 3 projektu Umowy i nadaje </w:t>
      </w:r>
      <w:r w:rsidR="007A20D2">
        <w:rPr>
          <w:bCs/>
          <w:lang w:eastAsia="pl-PL"/>
        </w:rPr>
        <w:t>te</w:t>
      </w:r>
      <w:r w:rsidRPr="000535D6">
        <w:rPr>
          <w:bCs/>
          <w:lang w:eastAsia="pl-PL"/>
        </w:rPr>
        <w:t xml:space="preserve">mu </w:t>
      </w:r>
      <w:r w:rsidR="007A20D2">
        <w:rPr>
          <w:bCs/>
          <w:lang w:eastAsia="pl-PL"/>
        </w:rPr>
        <w:t xml:space="preserve">zdaniu </w:t>
      </w:r>
      <w:r w:rsidRPr="000535D6">
        <w:rPr>
          <w:bCs/>
          <w:lang w:eastAsia="pl-PL"/>
        </w:rPr>
        <w:t xml:space="preserve">treść: </w:t>
      </w:r>
    </w:p>
    <w:p w14:paraId="5F382BA5" w14:textId="7DA97003" w:rsidR="00D239E2" w:rsidRDefault="00D239E2" w:rsidP="00D239E2">
      <w:pPr>
        <w:suppressAutoHyphens w:val="0"/>
        <w:spacing w:before="100" w:beforeAutospacing="1" w:after="100" w:afterAutospacing="1"/>
        <w:jc w:val="both"/>
        <w:rPr>
          <w:lang w:eastAsia="pl-PL"/>
        </w:rPr>
      </w:pPr>
      <w:r w:rsidRPr="00D239E2">
        <w:rPr>
          <w:lang w:eastAsia="pl-PL"/>
        </w:rPr>
        <w:t xml:space="preserve">"Strony zastrzegają, iż w przypadku gdyby postanowienia ust. 19 </w:t>
      </w:r>
      <w:r w:rsidRPr="00D239E2">
        <w:rPr>
          <w:strike/>
          <w:lang w:eastAsia="pl-PL"/>
        </w:rPr>
        <w:t>33</w:t>
      </w:r>
      <w:r w:rsidRPr="00D239E2">
        <w:rPr>
          <w:lang w:eastAsia="pl-PL"/>
        </w:rPr>
        <w:t xml:space="preserve">  niniejszego paragrafu zastrzegające, iż licencje udzielone na czas nieoznaczony nie podlegają wypowiedzeniu okazały się nieważne lub nieskuteczne i Wykonawca byłby uprawniony do wypowiedzenia licencji, to okres wypowiedzenia licencji będzie wynosił 10 lat ze skutkiem na koniec roku kalendarzowego, a wypowiedzenie nie będzie mogło być dokonane wcześniej niż po upływie 5 roku trwania licencji." </w:t>
      </w:r>
    </w:p>
    <w:p w14:paraId="05E65EA9" w14:textId="39E3FB93" w:rsidR="00D239E2" w:rsidRDefault="00D239E2" w:rsidP="00A9115C">
      <w:pPr>
        <w:pStyle w:val="Akapitzlist"/>
        <w:numPr>
          <w:ilvl w:val="0"/>
          <w:numId w:val="2"/>
        </w:numPr>
        <w:suppressAutoHyphens w:val="0"/>
        <w:spacing w:before="100" w:beforeAutospacing="1" w:after="100" w:afterAutospacing="1"/>
        <w:jc w:val="both"/>
        <w:rPr>
          <w:lang w:eastAsia="pl-PL"/>
        </w:rPr>
      </w:pPr>
      <w:r>
        <w:rPr>
          <w:lang w:eastAsia="pl-PL"/>
        </w:rPr>
        <w:t>Zamawiający dodaje nowy ust. 44 w par. 3 projektu Umowy:</w:t>
      </w:r>
    </w:p>
    <w:p w14:paraId="6A54F858" w14:textId="71CA2C91" w:rsidR="00D239E2" w:rsidRPr="00D239E2" w:rsidRDefault="00D239E2" w:rsidP="0086397C">
      <w:pPr>
        <w:suppressAutoHyphens w:val="0"/>
        <w:spacing w:before="100" w:beforeAutospacing="1" w:after="100" w:afterAutospacing="1"/>
        <w:jc w:val="both"/>
        <w:rPr>
          <w:lang w:eastAsia="pl-PL"/>
        </w:rPr>
      </w:pPr>
      <w:r>
        <w:rPr>
          <w:lang w:eastAsia="pl-PL"/>
        </w:rPr>
        <w:t>„W przypadku, jeżeli Wykonawca w zakresie zdolności technicznej lub wymaganej zgodnie z pkt  2.2 rozdziału V SWZ  będzie polegał na zasobach udostępnionych przez podmiot trzeci , to Wykonawca będzie zobowiązany zapewnić, by zamówienie w zakresie dostawy pojazdów zostało wykonane przez ten podmiot udostępniający zasoby.”</w:t>
      </w:r>
    </w:p>
    <w:p w14:paraId="3D6F1CE2" w14:textId="1B2E9852" w:rsidR="0086397C" w:rsidRDefault="0086397C" w:rsidP="0086397C">
      <w:pPr>
        <w:pStyle w:val="Akapitzlist"/>
        <w:numPr>
          <w:ilvl w:val="0"/>
          <w:numId w:val="2"/>
        </w:numPr>
        <w:suppressAutoHyphens w:val="0"/>
        <w:rPr>
          <w:lang w:eastAsia="pl-PL"/>
        </w:rPr>
      </w:pPr>
      <w:r>
        <w:rPr>
          <w:lang w:eastAsia="pl-PL"/>
        </w:rPr>
        <w:t>Zamawiający modyfikuje pkt. 12.1. OPZ i nadaje mu treść:</w:t>
      </w:r>
    </w:p>
    <w:p w14:paraId="03F8227E" w14:textId="77777777" w:rsidR="0086397C" w:rsidRDefault="0086397C" w:rsidP="0086397C">
      <w:pPr>
        <w:pStyle w:val="jmak2"/>
        <w:spacing w:line="276" w:lineRule="auto"/>
        <w:jc w:val="both"/>
        <w:rPr>
          <w:sz w:val="24"/>
          <w:szCs w:val="24"/>
        </w:rPr>
      </w:pPr>
      <w:r>
        <w:rPr>
          <w:lang w:eastAsia="pl-PL"/>
        </w:rPr>
        <w:t>„</w:t>
      </w:r>
      <w:r w:rsidRPr="007C6499">
        <w:rPr>
          <w:sz w:val="24"/>
          <w:szCs w:val="24"/>
        </w:rPr>
        <w:t>12.1. ETCS/ERTMS</w:t>
      </w:r>
    </w:p>
    <w:p w14:paraId="3DF39924" w14:textId="77777777" w:rsidR="00D85241" w:rsidRDefault="0086397C" w:rsidP="0086397C">
      <w:pPr>
        <w:pStyle w:val="jmak2"/>
        <w:tabs>
          <w:tab w:val="clear" w:pos="4111"/>
        </w:tabs>
        <w:spacing w:line="276" w:lineRule="auto"/>
        <w:ind w:left="0" w:firstLine="1"/>
        <w:jc w:val="both"/>
        <w:rPr>
          <w:sz w:val="24"/>
          <w:szCs w:val="24"/>
        </w:rPr>
      </w:pPr>
      <w:r w:rsidRPr="007C6499">
        <w:rPr>
          <w:sz w:val="24"/>
          <w:szCs w:val="24"/>
        </w:rPr>
        <w:t>- Pojazd musi być wyposażony w urządzenia Globalnego Systemu Kolejowej Radiokomunikacji Ruchowej (system GSM-R) wchodzącego w skład Europejskiego Systemu Zarządzania Ruchem Kolejowym (system ERTMS),</w:t>
      </w:r>
    </w:p>
    <w:p w14:paraId="5E26F92B" w14:textId="472DAA85" w:rsidR="0086397C" w:rsidRDefault="0086397C" w:rsidP="0086397C">
      <w:pPr>
        <w:pStyle w:val="jmak2"/>
        <w:tabs>
          <w:tab w:val="clear" w:pos="4111"/>
        </w:tabs>
        <w:spacing w:line="276" w:lineRule="auto"/>
        <w:ind w:left="0" w:firstLine="1"/>
        <w:jc w:val="both"/>
        <w:rPr>
          <w:color w:val="FF0000"/>
          <w:sz w:val="24"/>
          <w:szCs w:val="24"/>
        </w:rPr>
      </w:pPr>
      <w:r w:rsidRPr="007C6499">
        <w:rPr>
          <w:sz w:val="24"/>
          <w:szCs w:val="24"/>
        </w:rPr>
        <w:t>- Wymagane jest, aby pojazd odpowiadał warunkom Krajowego Planu Wdrożenia TSI Sterowanie zmienionego Suplementem nr 2, a tym samym nie jest wymagane zainstalowanie w pojeździe  Europejskiego Systemu Sterowania Pociągiem (system ETCS) poziom L1 i L2, lecz pojazd musi  być przystosowany do zainstalowania systemu ETCS w terminie późniejszym</w:t>
      </w:r>
      <w:r>
        <w:rPr>
          <w:sz w:val="24"/>
          <w:szCs w:val="24"/>
        </w:rPr>
        <w:t>.</w:t>
      </w:r>
      <w:r w:rsidRPr="007C6499">
        <w:rPr>
          <w:sz w:val="24"/>
          <w:szCs w:val="24"/>
        </w:rPr>
        <w:t xml:space="preserve"> Wymagane jest zapewnienie miejsca i</w:t>
      </w:r>
      <w:r>
        <w:rPr>
          <w:sz w:val="24"/>
          <w:szCs w:val="24"/>
        </w:rPr>
        <w:t xml:space="preserve"> </w:t>
      </w:r>
      <w:r w:rsidRPr="007C6499">
        <w:rPr>
          <w:sz w:val="24"/>
          <w:szCs w:val="24"/>
        </w:rPr>
        <w:t>możliwości zainstalowania wszystkich urządzeń ERTMS/ETCS do poziomu L2</w:t>
      </w:r>
      <w:r w:rsidRPr="005F6AE2">
        <w:rPr>
          <w:color w:val="FF0000"/>
          <w:sz w:val="24"/>
          <w:szCs w:val="24"/>
        </w:rPr>
        <w:t xml:space="preserve">, </w:t>
      </w:r>
      <w:r>
        <w:rPr>
          <w:color w:val="FF0000"/>
          <w:sz w:val="24"/>
          <w:szCs w:val="24"/>
        </w:rPr>
        <w:t>Zamawiający wymaga przygotowania:</w:t>
      </w:r>
    </w:p>
    <w:p w14:paraId="5E3A2DE6" w14:textId="77777777" w:rsidR="0086397C" w:rsidRDefault="0086397C" w:rsidP="0086397C">
      <w:pPr>
        <w:pStyle w:val="jmak2"/>
        <w:tabs>
          <w:tab w:val="clear" w:pos="4111"/>
        </w:tabs>
        <w:spacing w:before="0" w:after="0" w:line="276" w:lineRule="auto"/>
        <w:ind w:left="0" w:firstLine="0"/>
        <w:jc w:val="both"/>
        <w:rPr>
          <w:color w:val="FF0000"/>
          <w:sz w:val="24"/>
          <w:szCs w:val="24"/>
        </w:rPr>
      </w:pPr>
      <w:r w:rsidRPr="005F6AE2">
        <w:rPr>
          <w:color w:val="FF0000"/>
          <w:sz w:val="24"/>
          <w:szCs w:val="24"/>
        </w:rPr>
        <w:t>•</w:t>
      </w:r>
      <w:r>
        <w:rPr>
          <w:color w:val="FF0000"/>
          <w:sz w:val="24"/>
          <w:szCs w:val="24"/>
        </w:rPr>
        <w:t xml:space="preserve"> na pulpicie maszynisty miejsca na monitor DMI (otwór należy zamaskować),</w:t>
      </w:r>
    </w:p>
    <w:p w14:paraId="761CCA16" w14:textId="77777777" w:rsidR="0086397C" w:rsidRDefault="0086397C" w:rsidP="0086397C">
      <w:pPr>
        <w:pStyle w:val="jmak2"/>
        <w:tabs>
          <w:tab w:val="clear" w:pos="4111"/>
        </w:tabs>
        <w:spacing w:before="0" w:after="0" w:line="276" w:lineRule="auto"/>
        <w:ind w:left="0" w:firstLine="0"/>
        <w:jc w:val="both"/>
        <w:rPr>
          <w:color w:val="FF0000"/>
          <w:sz w:val="24"/>
          <w:szCs w:val="24"/>
        </w:rPr>
      </w:pPr>
      <w:r w:rsidRPr="005F6AE2">
        <w:rPr>
          <w:color w:val="FF0000"/>
          <w:sz w:val="24"/>
          <w:szCs w:val="24"/>
        </w:rPr>
        <w:lastRenderedPageBreak/>
        <w:t>•</w:t>
      </w:r>
      <w:r>
        <w:rPr>
          <w:color w:val="FF0000"/>
          <w:sz w:val="24"/>
          <w:szCs w:val="24"/>
        </w:rPr>
        <w:t xml:space="preserve"> miejsce w szafach na moduły EVC, STM, miejsca na wsporniki anten do </w:t>
      </w:r>
      <w:proofErr w:type="spellStart"/>
      <w:r>
        <w:rPr>
          <w:color w:val="FF0000"/>
          <w:sz w:val="24"/>
          <w:szCs w:val="24"/>
        </w:rPr>
        <w:t>eurobalis</w:t>
      </w:r>
      <w:proofErr w:type="spellEnd"/>
      <w:r>
        <w:rPr>
          <w:color w:val="FF0000"/>
          <w:sz w:val="24"/>
          <w:szCs w:val="24"/>
        </w:rPr>
        <w:t>,</w:t>
      </w:r>
    </w:p>
    <w:p w14:paraId="35FF6CCA" w14:textId="77777777" w:rsidR="0086397C" w:rsidRDefault="0086397C" w:rsidP="0086397C">
      <w:pPr>
        <w:pStyle w:val="jmak2"/>
        <w:tabs>
          <w:tab w:val="clear" w:pos="4111"/>
        </w:tabs>
        <w:spacing w:before="0" w:after="0" w:line="276" w:lineRule="auto"/>
        <w:ind w:left="0" w:firstLine="0"/>
        <w:jc w:val="both"/>
        <w:rPr>
          <w:color w:val="FF0000"/>
          <w:sz w:val="24"/>
          <w:szCs w:val="24"/>
        </w:rPr>
      </w:pPr>
      <w:r w:rsidRPr="005F6AE2">
        <w:rPr>
          <w:color w:val="FF0000"/>
          <w:sz w:val="24"/>
          <w:szCs w:val="24"/>
        </w:rPr>
        <w:t>•</w:t>
      </w:r>
      <w:r>
        <w:rPr>
          <w:color w:val="FF0000"/>
          <w:sz w:val="24"/>
          <w:szCs w:val="24"/>
        </w:rPr>
        <w:t xml:space="preserve"> miejsca na wsporniki urządzeń i oprzyrządowanie urządzeń </w:t>
      </w:r>
      <w:proofErr w:type="spellStart"/>
      <w:r>
        <w:rPr>
          <w:color w:val="FF0000"/>
          <w:sz w:val="24"/>
          <w:szCs w:val="24"/>
        </w:rPr>
        <w:t>odometrycznych</w:t>
      </w:r>
      <w:proofErr w:type="spellEnd"/>
      <w:r>
        <w:rPr>
          <w:color w:val="FF0000"/>
          <w:sz w:val="24"/>
          <w:szCs w:val="24"/>
        </w:rPr>
        <w:t xml:space="preserve"> (radar Dopplera, czujniki wielokanałowe w pokrywach maźnic),</w:t>
      </w:r>
    </w:p>
    <w:p w14:paraId="5E796937" w14:textId="77777777" w:rsidR="0086397C" w:rsidRDefault="0086397C" w:rsidP="0086397C">
      <w:pPr>
        <w:pStyle w:val="jmak2"/>
        <w:tabs>
          <w:tab w:val="clear" w:pos="4111"/>
        </w:tabs>
        <w:spacing w:before="0" w:after="0" w:line="276" w:lineRule="auto"/>
        <w:ind w:left="0" w:firstLine="0"/>
        <w:jc w:val="both"/>
        <w:rPr>
          <w:color w:val="FF0000"/>
          <w:sz w:val="24"/>
          <w:szCs w:val="24"/>
        </w:rPr>
      </w:pPr>
      <w:r w:rsidRPr="005F6AE2">
        <w:rPr>
          <w:color w:val="FF0000"/>
          <w:sz w:val="24"/>
          <w:szCs w:val="24"/>
        </w:rPr>
        <w:t>•</w:t>
      </w:r>
      <w:r>
        <w:rPr>
          <w:color w:val="FF0000"/>
          <w:sz w:val="24"/>
          <w:szCs w:val="24"/>
        </w:rPr>
        <w:t xml:space="preserve"> zastosowanie kontenera pneumatycznego umożliwiającego późniejszą integrację systemu ETCS,</w:t>
      </w:r>
    </w:p>
    <w:p w14:paraId="3E93FABB" w14:textId="77777777" w:rsidR="0086397C" w:rsidRDefault="0086397C" w:rsidP="0086397C">
      <w:pPr>
        <w:pStyle w:val="jmak2"/>
        <w:tabs>
          <w:tab w:val="clear" w:pos="4111"/>
        </w:tabs>
        <w:spacing w:before="0" w:after="0" w:line="276" w:lineRule="auto"/>
        <w:ind w:left="0" w:firstLine="0"/>
        <w:jc w:val="both"/>
        <w:rPr>
          <w:color w:val="FF0000"/>
          <w:sz w:val="24"/>
          <w:szCs w:val="24"/>
        </w:rPr>
      </w:pPr>
      <w:r w:rsidRPr="005F6AE2">
        <w:rPr>
          <w:color w:val="FF0000"/>
          <w:sz w:val="24"/>
          <w:szCs w:val="24"/>
        </w:rPr>
        <w:t>•</w:t>
      </w:r>
      <w:r>
        <w:rPr>
          <w:color w:val="FF0000"/>
          <w:sz w:val="24"/>
          <w:szCs w:val="24"/>
        </w:rPr>
        <w:t xml:space="preserve"> wykonanie niezbędnych przepustów kablowych na połączenia urządzeń systemu ETCS;</w:t>
      </w:r>
    </w:p>
    <w:p w14:paraId="4BCD9A2B" w14:textId="3DE969FE" w:rsidR="0086397C" w:rsidRPr="007C6499" w:rsidRDefault="0086397C" w:rsidP="0086397C">
      <w:pPr>
        <w:pStyle w:val="jmak2"/>
        <w:tabs>
          <w:tab w:val="clear" w:pos="4111"/>
        </w:tabs>
        <w:spacing w:line="276" w:lineRule="auto"/>
        <w:ind w:left="0" w:firstLine="1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Projekt przygotowania zabudowy systemu ETCS do uzgodnienia z Zamawiającym na etapie akceptacji projektu (wymaga się, aby projekt uwzględniał spełnienia obecnych wymagań prawnych w zakresie systemu ETCS). </w:t>
      </w:r>
      <w:r w:rsidRPr="007C6499">
        <w:rPr>
          <w:sz w:val="24"/>
          <w:szCs w:val="24"/>
        </w:rPr>
        <w:t>Należy przystosować znajdującą się na pojeździe instalację do późniejszej zabudowy systemu ERTMS/ETCS i zapewnić miejsce do późniejszej zabudowy instalacji systemu ERTMS/ETCS</w:t>
      </w:r>
      <w:r>
        <w:rPr>
          <w:color w:val="FF0000"/>
          <w:sz w:val="24"/>
          <w:szCs w:val="24"/>
        </w:rPr>
        <w:t>, w sposób możliwie uniwersalny, to jest nieograniczający zastosowania urządzeń ETCS pochodzących od konkretnych producentów</w:t>
      </w:r>
      <w:r w:rsidRPr="007C649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7C6499">
        <w:rPr>
          <w:sz w:val="24"/>
          <w:szCs w:val="24"/>
        </w:rPr>
        <w:t>Zamawiający informuje, iż pokładowe urządzenia systemu ERTMS/ETCS będą zabudowane na pojazdach w chwili uruchomienia warstwy przytorowej systemu ERTMS/ETCS na linii kolejowej nr 201 i 202.</w:t>
      </w:r>
      <w:r>
        <w:rPr>
          <w:sz w:val="24"/>
          <w:szCs w:val="24"/>
        </w:rPr>
        <w:t>”</w:t>
      </w:r>
    </w:p>
    <w:p w14:paraId="565099DA" w14:textId="29A04F12" w:rsidR="0086397C" w:rsidRPr="00D239E2" w:rsidRDefault="0086397C" w:rsidP="0086397C">
      <w:pPr>
        <w:suppressAutoHyphens w:val="0"/>
        <w:rPr>
          <w:lang w:eastAsia="pl-PL"/>
        </w:rPr>
      </w:pPr>
    </w:p>
    <w:p w14:paraId="6626E316" w14:textId="491B1776" w:rsidR="00D239E2" w:rsidRPr="00286F36" w:rsidRDefault="00286F36" w:rsidP="00286F36">
      <w:pPr>
        <w:pStyle w:val="Trescpola"/>
        <w:numPr>
          <w:ilvl w:val="0"/>
          <w:numId w:val="2"/>
        </w:numPr>
        <w:spacing w:line="360" w:lineRule="auto"/>
        <w:jc w:val="both"/>
        <w:rPr>
          <w:b w:val="0"/>
        </w:rPr>
      </w:pPr>
      <w:r w:rsidRPr="00674C7C">
        <w:rPr>
          <w:b w:val="0"/>
        </w:rPr>
        <w:t xml:space="preserve">Zamawiający przedstawia w załączeniu </w:t>
      </w:r>
      <w:r>
        <w:rPr>
          <w:b w:val="0"/>
        </w:rPr>
        <w:t>modyfikację OPZ oraz Projektu Umowy.</w:t>
      </w:r>
    </w:p>
    <w:sectPr w:rsidR="00D239E2" w:rsidRPr="00286F3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9A3CF" w14:textId="77777777" w:rsidR="00E37A49" w:rsidRDefault="00E37A49" w:rsidP="00516F39">
      <w:r>
        <w:separator/>
      </w:r>
    </w:p>
  </w:endnote>
  <w:endnote w:type="continuationSeparator" w:id="0">
    <w:p w14:paraId="4AFD9AF2" w14:textId="77777777" w:rsidR="00E37A49" w:rsidRDefault="00E37A49" w:rsidP="00516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743ED" w14:textId="77777777" w:rsidR="00E37A49" w:rsidRDefault="00E37A49" w:rsidP="00516F39">
      <w:r>
        <w:separator/>
      </w:r>
    </w:p>
  </w:footnote>
  <w:footnote w:type="continuationSeparator" w:id="0">
    <w:p w14:paraId="2FC915FC" w14:textId="77777777" w:rsidR="00E37A49" w:rsidRDefault="00E37A49" w:rsidP="00516F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0B101" w14:textId="7A3A0D05" w:rsidR="00516F39" w:rsidRDefault="00516F39">
    <w:pPr>
      <w:pStyle w:val="Nagwek"/>
    </w:pPr>
    <w:r>
      <w:rPr>
        <w:noProof/>
        <w:lang w:eastAsia="pl-PL"/>
      </w:rPr>
      <w:drawing>
        <wp:inline distT="0" distB="0" distL="0" distR="0" wp14:anchorId="20128276" wp14:editId="7042E93E">
          <wp:extent cx="5760720" cy="685828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582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B6E17"/>
    <w:multiLevelType w:val="hybridMultilevel"/>
    <w:tmpl w:val="D9AE912C"/>
    <w:lvl w:ilvl="0" w:tplc="AE38490E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94" w:hanging="360"/>
      </w:pPr>
    </w:lvl>
    <w:lvl w:ilvl="2" w:tplc="C90E9E80"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E1BED928">
      <w:start w:val="1"/>
      <w:numFmt w:val="lowerLetter"/>
      <w:lvlText w:val="%4)"/>
      <w:lvlJc w:val="left"/>
      <w:pPr>
        <w:ind w:left="3240" w:hanging="720"/>
      </w:pPr>
      <w:rPr>
        <w:rFonts w:hint="default"/>
      </w:rPr>
    </w:lvl>
    <w:lvl w:ilvl="4" w:tplc="68C6FD04">
      <w:start w:val="1"/>
      <w:numFmt w:val="decimal"/>
      <w:lvlText w:val="%5)"/>
      <w:lvlJc w:val="left"/>
      <w:pPr>
        <w:ind w:left="6598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30C3E"/>
    <w:multiLevelType w:val="hybridMultilevel"/>
    <w:tmpl w:val="D056FC62"/>
    <w:lvl w:ilvl="0" w:tplc="2674A3B6">
      <w:start w:val="13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0B3121"/>
    <w:multiLevelType w:val="hybridMultilevel"/>
    <w:tmpl w:val="23EC6B2C"/>
    <w:lvl w:ilvl="0" w:tplc="E98C47B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711F54"/>
    <w:multiLevelType w:val="hybridMultilevel"/>
    <w:tmpl w:val="B8FE718A"/>
    <w:lvl w:ilvl="0" w:tplc="949E09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BF8D808">
      <w:start w:val="1"/>
      <w:numFmt w:val="lowerLetter"/>
      <w:lvlText w:val="%2."/>
      <w:lvlJc w:val="left"/>
      <w:pPr>
        <w:ind w:left="1440" w:hanging="360"/>
      </w:pPr>
    </w:lvl>
    <w:lvl w:ilvl="2" w:tplc="67AEE75E" w:tentative="1">
      <w:start w:val="1"/>
      <w:numFmt w:val="lowerRoman"/>
      <w:lvlText w:val="%3."/>
      <w:lvlJc w:val="right"/>
      <w:pPr>
        <w:ind w:left="2160" w:hanging="180"/>
      </w:pPr>
    </w:lvl>
    <w:lvl w:ilvl="3" w:tplc="97B45C16" w:tentative="1">
      <w:start w:val="1"/>
      <w:numFmt w:val="decimal"/>
      <w:lvlText w:val="%4."/>
      <w:lvlJc w:val="left"/>
      <w:pPr>
        <w:ind w:left="2880" w:hanging="360"/>
      </w:pPr>
    </w:lvl>
    <w:lvl w:ilvl="4" w:tplc="4F1E98B8" w:tentative="1">
      <w:start w:val="1"/>
      <w:numFmt w:val="lowerLetter"/>
      <w:lvlText w:val="%5."/>
      <w:lvlJc w:val="left"/>
      <w:pPr>
        <w:ind w:left="3600" w:hanging="360"/>
      </w:pPr>
    </w:lvl>
    <w:lvl w:ilvl="5" w:tplc="747AEBD6" w:tentative="1">
      <w:start w:val="1"/>
      <w:numFmt w:val="lowerRoman"/>
      <w:lvlText w:val="%6."/>
      <w:lvlJc w:val="right"/>
      <w:pPr>
        <w:ind w:left="4320" w:hanging="180"/>
      </w:pPr>
    </w:lvl>
    <w:lvl w:ilvl="6" w:tplc="32484120" w:tentative="1">
      <w:start w:val="1"/>
      <w:numFmt w:val="decimal"/>
      <w:lvlText w:val="%7."/>
      <w:lvlJc w:val="left"/>
      <w:pPr>
        <w:ind w:left="5040" w:hanging="360"/>
      </w:pPr>
    </w:lvl>
    <w:lvl w:ilvl="7" w:tplc="F7AE5A80" w:tentative="1">
      <w:start w:val="1"/>
      <w:numFmt w:val="lowerLetter"/>
      <w:lvlText w:val="%8."/>
      <w:lvlJc w:val="left"/>
      <w:pPr>
        <w:ind w:left="5760" w:hanging="360"/>
      </w:pPr>
    </w:lvl>
    <w:lvl w:ilvl="8" w:tplc="45E254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83621C"/>
    <w:multiLevelType w:val="hybridMultilevel"/>
    <w:tmpl w:val="85FE03E6"/>
    <w:lvl w:ilvl="0" w:tplc="009E109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E607CA1"/>
    <w:multiLevelType w:val="hybridMultilevel"/>
    <w:tmpl w:val="2BA24E64"/>
    <w:lvl w:ilvl="0" w:tplc="5378B03E">
      <w:start w:val="1"/>
      <w:numFmt w:val="ordinal"/>
      <w:lvlText w:val="%1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ind w:left="6144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138"/>
    <w:rsid w:val="000535D6"/>
    <w:rsid w:val="00197B95"/>
    <w:rsid w:val="001B7DC7"/>
    <w:rsid w:val="00286F36"/>
    <w:rsid w:val="003162B4"/>
    <w:rsid w:val="005073A4"/>
    <w:rsid w:val="00516F39"/>
    <w:rsid w:val="005916EE"/>
    <w:rsid w:val="006C697C"/>
    <w:rsid w:val="00755252"/>
    <w:rsid w:val="007A20D2"/>
    <w:rsid w:val="0086397C"/>
    <w:rsid w:val="008C4DE7"/>
    <w:rsid w:val="008D64E1"/>
    <w:rsid w:val="009179E7"/>
    <w:rsid w:val="00A9115C"/>
    <w:rsid w:val="00AF0138"/>
    <w:rsid w:val="00AF1392"/>
    <w:rsid w:val="00B64571"/>
    <w:rsid w:val="00BD01A9"/>
    <w:rsid w:val="00C77BE0"/>
    <w:rsid w:val="00D239E2"/>
    <w:rsid w:val="00D85241"/>
    <w:rsid w:val="00E37A49"/>
    <w:rsid w:val="00FB4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E1967"/>
  <w15:chartTrackingRefBased/>
  <w15:docId w15:val="{4631D959-7F88-4DB7-8729-D94B30963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7BE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16F39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16F39"/>
  </w:style>
  <w:style w:type="paragraph" w:styleId="Stopka">
    <w:name w:val="footer"/>
    <w:basedOn w:val="Normalny"/>
    <w:link w:val="StopkaZnak"/>
    <w:uiPriority w:val="99"/>
    <w:unhideWhenUsed/>
    <w:rsid w:val="00516F39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516F39"/>
  </w:style>
  <w:style w:type="paragraph" w:customStyle="1" w:styleId="Style6">
    <w:name w:val="Style6"/>
    <w:basedOn w:val="Normalny"/>
    <w:uiPriority w:val="99"/>
    <w:rsid w:val="00516F39"/>
    <w:pPr>
      <w:widowControl w:val="0"/>
      <w:suppressAutoHyphens w:val="0"/>
      <w:autoSpaceDE w:val="0"/>
      <w:autoSpaceDN w:val="0"/>
      <w:adjustRightInd w:val="0"/>
      <w:spacing w:line="274" w:lineRule="exact"/>
      <w:jc w:val="center"/>
    </w:pPr>
    <w:rPr>
      <w:rFonts w:eastAsiaTheme="minorEastAsia"/>
      <w:lang w:eastAsia="pl-PL"/>
    </w:rPr>
  </w:style>
  <w:style w:type="paragraph" w:customStyle="1" w:styleId="Style20">
    <w:name w:val="Style20"/>
    <w:basedOn w:val="Normalny"/>
    <w:uiPriority w:val="99"/>
    <w:rsid w:val="00516F39"/>
    <w:pPr>
      <w:widowControl w:val="0"/>
      <w:suppressAutoHyphens w:val="0"/>
      <w:autoSpaceDE w:val="0"/>
      <w:autoSpaceDN w:val="0"/>
      <w:adjustRightInd w:val="0"/>
      <w:spacing w:line="274" w:lineRule="exact"/>
      <w:ind w:hanging="240"/>
      <w:jc w:val="both"/>
    </w:pPr>
    <w:rPr>
      <w:rFonts w:eastAsiaTheme="minorEastAsia"/>
      <w:lang w:eastAsia="pl-PL"/>
    </w:rPr>
  </w:style>
  <w:style w:type="character" w:customStyle="1" w:styleId="FontStyle49">
    <w:name w:val="Font Style49"/>
    <w:basedOn w:val="Domylnaczcionkaakapitu"/>
    <w:uiPriority w:val="99"/>
    <w:rsid w:val="00516F39"/>
    <w:rPr>
      <w:rFonts w:ascii="Times New Roman" w:hAnsi="Times New Roman" w:cs="Times New Roman"/>
      <w:sz w:val="20"/>
      <w:szCs w:val="20"/>
    </w:rPr>
  </w:style>
  <w:style w:type="paragraph" w:customStyle="1" w:styleId="Trescpola">
    <w:name w:val="Tresc_pola"/>
    <w:basedOn w:val="Normalny"/>
    <w:rsid w:val="00C77BE0"/>
    <w:pPr>
      <w:suppressAutoHyphens w:val="0"/>
      <w:jc w:val="center"/>
    </w:pPr>
    <w:rPr>
      <w:b/>
      <w:lang w:eastAsia="pl-PL"/>
    </w:rPr>
  </w:style>
  <w:style w:type="paragraph" w:customStyle="1" w:styleId="Default">
    <w:name w:val="Default"/>
    <w:rsid w:val="00C77BE0"/>
    <w:pPr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239E2"/>
    <w:pPr>
      <w:ind w:left="720"/>
      <w:contextualSpacing/>
    </w:pPr>
  </w:style>
  <w:style w:type="character" w:customStyle="1" w:styleId="jmak2Znak">
    <w:name w:val="jm.ak.2 Znak"/>
    <w:link w:val="jmak2"/>
    <w:locked/>
    <w:rsid w:val="0086397C"/>
    <w:rPr>
      <w:rFonts w:ascii="Times New Roman" w:eastAsia="Times New Roman" w:hAnsi="Times New Roman"/>
    </w:rPr>
  </w:style>
  <w:style w:type="paragraph" w:customStyle="1" w:styleId="jmak2">
    <w:name w:val="jm.ak.2"/>
    <w:basedOn w:val="Normalny"/>
    <w:link w:val="jmak2Znak"/>
    <w:qFormat/>
    <w:rsid w:val="0086397C"/>
    <w:pPr>
      <w:tabs>
        <w:tab w:val="left" w:leader="dot" w:pos="4111"/>
      </w:tabs>
      <w:suppressAutoHyphens w:val="0"/>
      <w:spacing w:before="120" w:after="120"/>
      <w:ind w:left="4111" w:hanging="4111"/>
    </w:pPr>
    <w:rPr>
      <w:rFonts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39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397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39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39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397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79E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79E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81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55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933</Words>
  <Characters>5601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Komakowska Helińska</dc:creator>
  <cp:keywords/>
  <dc:description/>
  <cp:lastModifiedBy>Maciej Ruciński</cp:lastModifiedBy>
  <cp:revision>9</cp:revision>
  <dcterms:created xsi:type="dcterms:W3CDTF">2021-06-25T05:43:00Z</dcterms:created>
  <dcterms:modified xsi:type="dcterms:W3CDTF">2021-06-28T10:03:00Z</dcterms:modified>
</cp:coreProperties>
</file>