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721-28-20</w:t>
      </w:r>
    </w:p>
    <w:p w:rsidR="00D85F11" w:rsidRPr="00D85F11" w:rsidRDefault="00D85F11" w:rsidP="00D85F1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SKMMU.086.35.18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LIPIEC 2018 ROK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F8133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</w:t>
      </w:r>
      <w:r w:rsidR="00F07C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3</w:t>
      </w:r>
      <w:bookmarkStart w:id="0" w:name="_GoBack"/>
      <w:bookmarkEnd w:id="0"/>
      <w:r w:rsidR="00F8133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sierpnia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wykonanie wymiany podkładów drewnianych i szyn w torach głównych zasadniczych linii kolejowej nr 250 Gdańsk Główny – Rumia - znak: SKMMU.086.35.18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D85F1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2017 r. poz. 1579)</w:t>
      </w:r>
      <w:r w:rsidRPr="00D85F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D85F11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STRONY ZAMÓWIENIA PUBLICZNEGO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art.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132 ustawy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oraz w niniejszej Specyfikacji Istotnych Warunków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D85F11" w:rsidRPr="00D85F11" w:rsidTr="00DB533A">
        <w:tc>
          <w:tcPr>
            <w:tcW w:w="4498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D85F11" w:rsidRPr="00D85F11" w:rsidTr="00DB533A">
        <w:tc>
          <w:tcPr>
            <w:tcW w:w="9360" w:type="dxa"/>
            <w:gridSpan w:val="2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SKMMU.086.35.18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Wymiana podkładów drewnianych i szyn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F8133A">
              <w:rPr>
                <w:rFonts w:ascii="Times New Roman" w:eastAsia="Times New Roman" w:hAnsi="Times New Roman" w:cs="Times New Roman"/>
                <w:b/>
                <w:lang w:eastAsia="pl-PL"/>
              </w:rPr>
              <w:t>13 sierpnia</w:t>
            </w: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2018 roku, godz. 11:00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Przewidziano zamówienia uzupełniające do kwoty 75 132,70 zł netto.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naprawie głównej nawierzchni torowej o wartości minimum  300 000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DB533A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a/ oryginały;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D85F11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wykonanie robót budowlanych w zakresie wymiany podkładów drewnianych i szyn w torach głównych zasadniczych linii kolejowej nr 250 Gdańsk Główny - Rumia </w:t>
      </w:r>
      <w:r w:rsidRPr="00D85F1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D85F11" w:rsidRDefault="00D85F11" w:rsidP="00D85F11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85F11" w:rsidRPr="00D85F11" w:rsidTr="00DB533A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30 października 2018 r.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realizacji przedmiotu zamówienia.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85F11" w:rsidRPr="00D85F11" w:rsidTr="00DB533A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D85F11" w:rsidRPr="00D85F11" w:rsidTr="00DB533A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13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do godz.  10.00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D85F11" w:rsidRPr="00D85F11" w:rsidRDefault="00D85F11" w:rsidP="00D85F1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8.3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Paweł Wojtkiewicz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–Wydział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20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13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o godz. 11:00 w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13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 godz. 12:00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toku postępowania oraz w przypadku zaniechania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czynności, do której jest obowiązany na podstawie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R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egulaminu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wskazanego w pkt 11.6, można wnieść protest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taki sposób, że mógł zapoznać się z jego treścią.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wnosi się w terminie 7 dni od dnia publikacji ogłoszenia i zamieszczenia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amawiający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może przedłużyć termin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 xml:space="preserve">PKP Szybka Kolej Miejska w Trójmieście Sp. z o.o. zamówień sektorowych podprogowych na roboty budowlane, dostawy i usługi, o których mowa 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rt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132 ustawy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11.7.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a także zawierać żądanie, zwięzłe przytoczenie zarzutów oraz okoliczności faktycznych i prawnych uzasadniających wniesienie protestu.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lang w:val="x-none" w:eastAsia="x-none"/>
        </w:rPr>
        <w:t>XIII. ZABEZPIECZENIE NALEŻYTEGO WYKONANIA UMOWY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Pr="00D85F11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DB533A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85F11" w:rsidRPr="00D85F11" w:rsidRDefault="00D85F11" w:rsidP="00D85F11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znak: SKMMU.086.35.18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przetargu nieograniczonego prowadzonego przez PKP Szybka Kolej Miejska                      w Trójmieście sp. z o.o. z siedzibą w Gdyni na 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wykonanie wymiany</w:t>
      </w:r>
      <w:r w:rsidRPr="00D85F11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podkładów drewnianych i szyn w torach głównych zasadniczych linii kolejowej nr 250 Gdańsk Główny - Rumia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D85F11">
        <w:rPr>
          <w:rFonts w:ascii="Times New Roman" w:eastAsia="Times New Roman" w:hAnsi="Times New Roman" w:cs="Times New Roman"/>
          <w:lang w:eastAsia="x-none"/>
        </w:rPr>
        <w:t>U.086.35.18</w:t>
      </w:r>
      <w:r w:rsidRPr="00D85F11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D85F11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D85F11" w:rsidRPr="00D85F11" w:rsidRDefault="00D85F11" w:rsidP="00D85F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akceptuje warunki płatności wskazane w SIWZ i wzorze Umowy.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D85F11" w:rsidRPr="00D85F11" w:rsidRDefault="00D85F11" w:rsidP="00D85F1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najpóźniej w dniu zawarcia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D85F11" w:rsidRPr="00D85F11" w:rsidTr="00DB533A">
        <w:tc>
          <w:tcPr>
            <w:tcW w:w="9544" w:type="dxa"/>
          </w:tcPr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18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SKMMU.086.35.18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2018 roku w Gdyni pomiędzy 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163 719 000,00 zł reprezentowaną przez: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wymiany podkładów drewnianych i szyn w torach głównych zasadniczych linii kolejowej nr 250 Gdańsk Główny - Rumia, szczegółowo opisane w OPZ (Opis Przedmiotu Zamówienia), stanowiącym załącznik do niniejszej umowy. 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SKMMU.086.35.18;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SKMMU.086.35.18 wraz z kosztorysem ofertowym;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zrealizować roboty budowlane stanowiące przedmiot niniejszej umowy w nieprzekraczalnym terminie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dnia 30 października 2018 r.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§3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 nowych materiałów własnych WYKONAWCY.</w:t>
      </w:r>
      <w:r w:rsidRPr="00D85F11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D85F11" w:rsidRPr="00D85F11" w:rsidRDefault="00D85F11" w:rsidP="00D85F11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przekaże kartę utylizacji odpadów.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wytwórcą odpadów powstałych podczas wykonywania Umowy w rozumieniu przepisów o ochronie środowiska i odpadach.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zwiezie w miejsce wskazane przez Zamawiającego szyny po wymianie.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odpowiedzialność za wymagane warunki BHP oraz p. </w:t>
      </w:r>
      <w:proofErr w:type="spellStart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poż</w:t>
      </w:r>
      <w:proofErr w:type="spellEnd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. w zakresie wykonywanych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informowanie ZAMAWIAJĄCEGO - w formie pisemnej - na bieżąco o problemach i okolicznościach, które mogą wpłynąć na jakość robót lub opóźnienie terminu ich zakończenia;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zgłoszenie wykonanych prac do odbioru końcowego lub częściowego oraz uczestniczenie w czynnościach odbioru i zapewnienie usunięcia stwierdzonych wad;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utrzymanie ładu i porządku na terenie budowy oraz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doprowadzenie do należytego stanu i porządku terenu budowy po zakończeniu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odpowiedzialność cywilna względem ZAMAWIAJĄCEGO oraz osób trzecich za zdarzenia związane z prowadzonymi robotami;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demontaż i montaż we własnym zakresie infrastruktury peronowej, jeżeli zajdzie taka konieczność oraz zabezpieczenie zdemontowanych elementów.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D85F11" w:rsidRPr="00D85F11" w:rsidRDefault="00D85F11" w:rsidP="00D85F11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F8133A" w:rsidRDefault="00F8133A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§6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§7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WYKONAWCA zobowiązuje się do umożliwienia wstępu na teren budowy pracownikom organów nadzoru budowlanego, do których należy wykonywanie zadań określonych ustawą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D85F11" w:rsidRPr="00D85F11" w:rsidRDefault="00D85F11" w:rsidP="00D85F1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nie jest dopuszczalne zatrudnienie dalszych podwykonawców;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5) wynagrodzenie Podwykonawcy nie może być wyższe niż wynagrodzenie WYKONAWCY za dany zakres robót oraz za poszczególne elementy robót;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Egzemplarz umowy WYKONAWCY z Podwykonawcą stanowić będzie załącznik do umowy niniejszej.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WYKONAWCA jest odpowiedzialny za działanie i zaniechanie Podwykonawcy jak za swoje własne.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 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13.  W celu zaspokojenia roszczeń Podwykonawców wobec ZAMAWIAJĄCEGO wynikających z przepisu art. 647</w:t>
      </w:r>
      <w:r w:rsidRPr="00D85F11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1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§5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  W przypadku, jeżeli płatność wynagrodzenia WYKONAWCY przypada wcześniej niż płatność wynagrodzenia na rzecz Podwykonawcy ZAMAWIAJĄCY ma prawo zatrzymać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odpowiednią część wynagrodzenia WYKONAWCY w celu przelania jej w odpowiednim terminie na rachunek Podwykonawcy.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 Naruszenie obowiązków WYKONAWCY wynikających z poprzedzających ustępów uprawnia ZAMAWIAJĄCEGO do odstąpienia od umowy w terminie określonym w §17 ust. 1 niniejszej umowy. 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protokolarnie placu budowy w terminie 10 (słownie: dziesięciu) dni po  podpisaniu umowy;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§11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1) podstawę rozpoczęcia odbioru częściowego przedmiotu niniejszej umowy stanowi pisemne zawiadomienie ZAMAWIAJĄCEGO przez WYKONAWCĘ. Podstawę  odbioru końcowego przedmiotu niniejszej umowy stanowi pisemne powiadomienie ZAMAWIAJĄCEGO przez Kierownika Budowy o zakończeniu robót przez WYKONAWCĘ;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2) ZAMAWIAJĄCY rozpocznie komisyjny odbiór częściowy nie później niż w ciągu 7 (słownie: siedmiu) dni od daty otrzymania pisemnego zawiadomienia o gotowości do odbioru częściowego. ZAMAWIAJĄCY rozpocznie komisyjny odbiór końcowy nie później niż w ciągu 21 (słownie: dwudziestu jeden) dni od daty otrzymania pisemnego zawiadomienia o gotowości do odbioru, powiadamiając WYKONAWCĘ na piśmie o terminie odbioru nie później niż 7 (słownie: siedem) dni przed odbiorem;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3) WYKONAWCA w dniu zgłoszenia przedstawi ZAMAWIAJĄCEMU dokumenty pozwalające na ocenę prawidłowości wykonania przedmiotu umowy, o których mowa  w §5 ust.1 pkt 10;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4) z czynności odbioru spisany zostanie protokół zawierający wszelkie ustalenia dokonane w toku odbioru oraz terminy usunięcia stwierdzonych wad i niedoróbek;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5) odbioru dokona komisja ustalona przed odbiorem przez ZAMAWIAJĄCEGO;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6) koszty prób i badań związanych z odbiorem technicznym ponosi WYKONAWCA;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                            i gwarancji. Roboty objęte odbiorami częściowymi będą następnie przedmiotem odbioru końcowego.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2 odbiory częściowe.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§12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                               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lastRenderedPageBreak/>
        <w:t>§13</w:t>
      </w:r>
    </w:p>
    <w:p w:rsidR="00D85F11" w:rsidRPr="00D85F11" w:rsidRDefault="00D85F11" w:rsidP="00D85F11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zwiera podatek VAT. Kwota netto – … zł (słownie: … zł, /100). Powyższe kwoty zostały ustalone na podstawie oferty złożonej przez WYKONAWCĘ w przetargu nieograniczonym- znak: SKMMU.086.35.18.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D85F11" w:rsidRPr="00D85F11" w:rsidRDefault="00D85F11" w:rsidP="00D85F11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§15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następujące kary umowne: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za przekroczenie terminu wykonania przedmiotu umowy określonego w §2 umowy - w wysokości 0,2% (słownie: dwie dziesiąte procenta) wynagrodzenia brutto określonego §14 ust. 1 - za każdy dzień opóźnienia,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2) za opóźnienie w usunięciu wad stwierdzonych przy odbiorze końcowym lub w okresie gwarancji oraz rękojmi – w wysokości 0,1 % wynagrodzenia brutto, o którym mowa w §14 ust. 1 umowy, za każdy dzień opóźnienia, liczony od upływu terminu wyznaczonego zgodnie z postanowieniami §11 ust. 1 na usunięcie wad,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brutto, o którym mowa w §14 ust. 1 umowy.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brutto określonego             w §14 ust. 1.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D85F11" w:rsidRPr="00D85F11" w:rsidRDefault="00D85F11" w:rsidP="00D85F11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Zdarzeniami siły wyższej, zgodnie z postanowieniami niniejszej umowy, są w szczególności: strajk generalny, blokady dróg lub innych powszechnie używanych miejsc wjazdowych lub wyjazdowych, trzęsienie ziemi, powódź, huragan, epidemia i inne zdarzenia elementarnych sił przyrody, których STRONY nie mogły przezwyciężyć, nie przewidziały i nie mogły przewidzieć, a nadto, które są zewnętrzne w stosunku do nich samych i ich działalności.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D85F11" w:rsidRPr="00D85F11" w:rsidRDefault="00D85F11" w:rsidP="00D85F1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                             z oświadczeniem zostanie oddane w placówce pocztowej.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WYKONAWCA zabezpieczy przerwane roboty w zakresie obustronnie uzgodnionym na koszt STRONY, z której to winy nastąpiło odstąpienie od umowy lub przerwanie robót;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D85F11" w:rsidRPr="00D85F11" w:rsidRDefault="00D85F11" w:rsidP="00D85F11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D85F11" w:rsidRPr="00D85F11" w:rsidRDefault="00D85F11" w:rsidP="00D85F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D85F11" w:rsidRPr="00D85F11" w:rsidRDefault="00D85F11" w:rsidP="00D85F11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D85F11" w:rsidRPr="00D85F11" w:rsidRDefault="00D85F11" w:rsidP="00D85F11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§20</w:t>
      </w:r>
    </w:p>
    <w:p w:rsidR="00D85F11" w:rsidRPr="00D85F11" w:rsidRDefault="00D85F11" w:rsidP="00D85F1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D85F11" w:rsidRPr="00D85F11" w:rsidRDefault="00D85F11" w:rsidP="00D85F11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D85F11" w:rsidRPr="00D85F11" w:rsidRDefault="00D85F11" w:rsidP="00D85F11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SKMMU.086.35.18 - w tym zakresie.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8" w:history="1">
        <w:r w:rsidRPr="00D85F11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Żadna ze STRON niniejszej umowy nie może bez pisemnej zgody drugiej STRONY przenosić praw i obowiązków wynikających z umowy na osoby trzecie.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Spory mogące wyniknąć z niniejszej umowy podlegają rozstrzygnięciu sądów powszechnych właściwych ze względu na siedzibę ZAMAWIAJĄCEGO.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Umowa została sporządzona w 2 jednobrzmiących egzemplarzach, po 1 dla każdej ze STRON. 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SKMMU.086.35.18 wraz z kosztorysem ofertowym;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SKMMU.086.35.18;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F8133A" w:rsidRDefault="00F8133A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F8133A" w:rsidRPr="00D85F11" w:rsidRDefault="00F8133A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DB533A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SKMMU.086.35.18.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D85F11" w:rsidRPr="00D85F11" w:rsidRDefault="00D85F11" w:rsidP="00D85F11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D85F1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F11" w:rsidRDefault="00D85F1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85F11" w:rsidRPr="00F8133A" w:rsidRDefault="00D85F11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D85F11" w:rsidRPr="00F8133A" w:rsidRDefault="00D85F11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D85F11" w:rsidRDefault="00D85F1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85F11" w:rsidRDefault="00D85F1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85F11" w:rsidRDefault="00D85F1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D85F11" w:rsidRDefault="00D85F1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85F11" w:rsidRPr="00F8133A" w:rsidRDefault="00D85F11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D85F11" w:rsidRPr="00F8133A" w:rsidRDefault="00D85F11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D85F11" w:rsidRDefault="00D85F1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85F11" w:rsidRDefault="00D85F1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85F11" w:rsidRDefault="00D85F1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wykonanie wymiany podkładów drewnianych i szyn w torach głównych zasadniczych linii kolejowej nr 250 Gdańsk Główny - Rumia dla PKP Szybka Kolej Miejska w Trójmieście Sp. z o.o. z siedzibą  w Gdyni – znak: SKMMU.086.35.18,</w:t>
      </w:r>
      <w:r w:rsidRPr="00D85F11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D85F11" w:rsidRPr="00D85F11" w:rsidTr="00DB533A">
        <w:trPr>
          <w:cantSplit/>
        </w:trPr>
        <w:tc>
          <w:tcPr>
            <w:tcW w:w="1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</w:t>
            </w:r>
          </w:p>
        </w:tc>
        <w:tc>
          <w:tcPr>
            <w:tcW w:w="20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D85F11" w:rsidRPr="00D85F11" w:rsidTr="00DB533A">
        <w:trPr>
          <w:cantSplit/>
          <w:trHeight w:val="818"/>
        </w:trPr>
        <w:tc>
          <w:tcPr>
            <w:tcW w:w="1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D85F11" w:rsidRPr="00D85F11" w:rsidTr="00DB533A">
        <w:trPr>
          <w:trHeight w:val="256"/>
        </w:trPr>
        <w:tc>
          <w:tcPr>
            <w:tcW w:w="1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D85F11" w:rsidRPr="00D85F11" w:rsidTr="00DB533A">
        <w:trPr>
          <w:trHeight w:val="795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DB533A">
        <w:trPr>
          <w:trHeight w:val="86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DB533A">
        <w:trPr>
          <w:trHeight w:val="83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DB533A">
        <w:trPr>
          <w:trHeight w:val="831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D85F11" w:rsidRPr="00D85F11" w:rsidRDefault="00D85F11" w:rsidP="00D85F11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__.2018 r.</w:t>
      </w:r>
    </w:p>
    <w:p w:rsidR="00D85F11" w:rsidRPr="00D85F11" w:rsidRDefault="00D85F11" w:rsidP="00D85F11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72711" w:rsidRDefault="00672711"/>
    <w:sectPr w:rsidR="00672711" w:rsidSect="007E02B6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3E" w:rsidRDefault="00FA6E3E">
      <w:pPr>
        <w:spacing w:after="0" w:line="240" w:lineRule="auto"/>
      </w:pPr>
      <w:r>
        <w:separator/>
      </w:r>
    </w:p>
  </w:endnote>
  <w:endnote w:type="continuationSeparator" w:id="0">
    <w:p w:rsidR="00FA6E3E" w:rsidRDefault="00FA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B5B" w:rsidRDefault="00D85F11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1B5B" w:rsidRDefault="00FA6E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B5B" w:rsidRDefault="00D85F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AA1B5B" w:rsidRDefault="00FA6E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3E" w:rsidRDefault="00FA6E3E">
      <w:pPr>
        <w:spacing w:after="0" w:line="240" w:lineRule="auto"/>
      </w:pPr>
      <w:r>
        <w:separator/>
      </w:r>
    </w:p>
  </w:footnote>
  <w:footnote w:type="continuationSeparator" w:id="0">
    <w:p w:rsidR="00FA6E3E" w:rsidRDefault="00FA6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9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3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3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2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3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11"/>
    <w:rsid w:val="00672711"/>
    <w:rsid w:val="00B328F4"/>
    <w:rsid w:val="00D85F11"/>
    <w:rsid w:val="00F07C6D"/>
    <w:rsid w:val="00F8133A"/>
    <w:rsid w:val="00FA6E3E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6A4592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8571</Words>
  <Characters>51432</Characters>
  <Application>Microsoft Office Word</Application>
  <DocSecurity>0</DocSecurity>
  <Lines>428</Lines>
  <Paragraphs>119</Paragraphs>
  <ScaleCrop>false</ScaleCrop>
  <Company/>
  <LinksUpToDate>false</LinksUpToDate>
  <CharactersWithSpaces>59884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5</cp:revision>
  <dcterms:created xsi:type="dcterms:W3CDTF">2018-07-26T09:01:00Z</dcterms:created>
  <dcterms:modified xsi:type="dcterms:W3CDTF">2018-08-03T11:48:00Z</dcterms:modified>
</cp:coreProperties>
</file>